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泸县总工会</w:t>
      </w:r>
    </w:p>
    <w:p>
      <w:pPr>
        <w:spacing w:line="600" w:lineRule="exact"/>
        <w:jc w:val="center"/>
        <w:rPr>
          <w:rFonts w:hint="default" w:ascii="Times New Roman" w:hAnsi="Times New Roman" w:eastAsia="仿宋_GB2312" w:cs="Times New Roman"/>
          <w:bCs/>
          <w:kern w:val="2"/>
          <w:sz w:val="32"/>
          <w:szCs w:val="32"/>
          <w:highlight w:val="yellow"/>
          <w:lang w:val="en-US" w:eastAsia="zh-CN" w:bidi="ar-SA"/>
        </w:rPr>
      </w:pPr>
      <w:r>
        <w:rPr>
          <w:rFonts w:hint="default" w:ascii="Times New Roman" w:hAnsi="Times New Roman" w:eastAsia="方正小标宋简体" w:cs="Times New Roman"/>
          <w:b/>
          <w:sz w:val="44"/>
          <w:szCs w:val="44"/>
        </w:rPr>
        <w:t>关于20</w:t>
      </w:r>
      <w:r>
        <w:rPr>
          <w:rFonts w:hint="default" w:ascii="Times New Roman" w:hAnsi="Times New Roman" w:eastAsia="方正小标宋简体" w:cs="Times New Roman"/>
          <w:b/>
          <w:sz w:val="44"/>
          <w:szCs w:val="44"/>
          <w:lang w:val="en-US" w:eastAsia="zh-CN"/>
        </w:rPr>
        <w:t>24</w:t>
      </w:r>
      <w:r>
        <w:rPr>
          <w:rFonts w:hint="default" w:ascii="Times New Roman" w:hAnsi="Times New Roman" w:eastAsia="方正小标宋简体" w:cs="Times New Roman"/>
          <w:b/>
          <w:sz w:val="44"/>
          <w:szCs w:val="44"/>
        </w:rPr>
        <w:t>年</w:t>
      </w:r>
      <w:r>
        <w:rPr>
          <w:rFonts w:hint="default" w:ascii="Times New Roman" w:hAnsi="Times New Roman" w:eastAsia="方正小标宋简体" w:cs="Times New Roman"/>
          <w:b/>
          <w:sz w:val="44"/>
          <w:szCs w:val="44"/>
          <w:lang w:eastAsia="zh-CN"/>
        </w:rPr>
        <w:t>单位</w:t>
      </w:r>
      <w:r>
        <w:rPr>
          <w:rFonts w:hint="default" w:ascii="Times New Roman" w:hAnsi="Times New Roman" w:eastAsia="方正小标宋简体" w:cs="Times New Roman"/>
          <w:b/>
          <w:sz w:val="44"/>
          <w:szCs w:val="44"/>
        </w:rPr>
        <w:t>预算编制的说明</w:t>
      </w:r>
    </w:p>
    <w:p>
      <w:pPr>
        <w:ind w:firstLine="640" w:firstLineChars="200"/>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方正仿宋简体" w:cs="Times New Roman"/>
          <w:b/>
          <w:sz w:val="32"/>
          <w:szCs w:val="32"/>
          <w:lang w:val="en-US" w:eastAsia="zh-CN"/>
        </w:rPr>
        <w:t>目</w:t>
      </w:r>
      <w:r>
        <w:rPr>
          <w:rFonts w:hint="eastAsia" w:ascii="Times New Roman" w:hAnsi="Times New Roman" w:cs="Times New Roman"/>
          <w:b/>
          <w:sz w:val="32"/>
          <w:szCs w:val="32"/>
          <w:lang w:val="en-US" w:eastAsia="zh-CN"/>
        </w:rPr>
        <w:t xml:space="preserve">  </w:t>
      </w:r>
      <w:r>
        <w:rPr>
          <w:rFonts w:hint="default" w:ascii="Times New Roman" w:hAnsi="Times New Roman" w:eastAsia="方正仿宋简体" w:cs="Times New Roman"/>
          <w:b/>
          <w:sz w:val="32"/>
          <w:szCs w:val="32"/>
          <w:lang w:val="en-US" w:eastAsia="zh-CN"/>
        </w:rPr>
        <w:t>录</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基本情况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（一）主要职责</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（二）机构设置</w:t>
      </w:r>
    </w:p>
    <w:p>
      <w:pPr>
        <w:pStyle w:val="3"/>
        <w:keepNext w:val="0"/>
        <w:keepLines w:val="0"/>
        <w:pageBreakBefore w:val="0"/>
        <w:widowControl w:val="0"/>
        <w:kinsoku/>
        <w:wordWrap/>
        <w:overflowPunct/>
        <w:topLinePunct w:val="0"/>
        <w:autoSpaceDE/>
        <w:autoSpaceDN/>
        <w:bidi w:val="0"/>
        <w:adjustRightInd/>
        <w:snapToGrid/>
        <w:spacing w:beforeLines="0" w:afterLines="0"/>
        <w:ind w:firstLine="562" w:firstLineChars="200"/>
        <w:textAlignment w:val="auto"/>
        <w:rPr>
          <w:rFonts w:hint="default" w:ascii="Times New Roman" w:hAnsi="Times New Roman" w:eastAsia="方正仿宋简体" w:cs="Times New Roman"/>
          <w:b/>
          <w:spacing w:val="0"/>
          <w:sz w:val="28"/>
          <w:lang w:val="en-US" w:eastAsia="zh-CN"/>
        </w:rPr>
      </w:pPr>
      <w:r>
        <w:rPr>
          <w:rFonts w:hint="default" w:ascii="Times New Roman" w:hAnsi="Times New Roman" w:eastAsia="方正仿宋简体" w:cs="Times New Roman"/>
          <w:b/>
          <w:spacing w:val="0"/>
          <w:sz w:val="28"/>
        </w:rPr>
        <w:t>（三）</w:t>
      </w:r>
      <w:r>
        <w:rPr>
          <w:rFonts w:hint="default" w:ascii="Times New Roman" w:hAnsi="Times New Roman" w:eastAsia="方正仿宋简体" w:cs="Times New Roman"/>
          <w:b/>
          <w:spacing w:val="0"/>
          <w:sz w:val="28"/>
          <w:lang w:val="en-US" w:eastAsia="zh-CN"/>
        </w:rPr>
        <w:t>202</w:t>
      </w:r>
      <w:r>
        <w:rPr>
          <w:rFonts w:hint="eastAsia" w:ascii="Times New Roman" w:hAnsi="Times New Roman" w:eastAsia="方正仿宋简体" w:cs="Times New Roman"/>
          <w:b/>
          <w:spacing w:val="0"/>
          <w:sz w:val="28"/>
          <w:lang w:val="en-US" w:eastAsia="zh-CN"/>
        </w:rPr>
        <w:t>4</w:t>
      </w:r>
      <w:r>
        <w:rPr>
          <w:rFonts w:hint="default" w:ascii="Times New Roman" w:hAnsi="Times New Roman" w:eastAsia="方正仿宋简体" w:cs="Times New Roman"/>
          <w:b/>
          <w:spacing w:val="0"/>
          <w:sz w:val="28"/>
          <w:lang w:val="en-US" w:eastAsia="zh-CN"/>
        </w:rPr>
        <w:t>年重点工作</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二、收支预算总体情况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（一）收入预算情况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（二）支出预算情况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三、财政拨款</w:t>
      </w:r>
      <w:r>
        <w:rPr>
          <w:rFonts w:hint="default" w:ascii="Times New Roman" w:hAnsi="Times New Roman" w:eastAsia="方正仿宋简体" w:cs="Times New Roman"/>
          <w:b/>
          <w:sz w:val="28"/>
          <w:lang w:eastAsia="zh-CN"/>
        </w:rPr>
        <w:t>收支预算安排</w:t>
      </w:r>
      <w:r>
        <w:rPr>
          <w:rFonts w:hint="default" w:ascii="Times New Roman" w:hAnsi="Times New Roman" w:eastAsia="方正仿宋简体" w:cs="Times New Roman"/>
          <w:b/>
          <w:sz w:val="28"/>
        </w:rPr>
        <w:t>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w:t>
      </w:r>
      <w:r>
        <w:rPr>
          <w:rFonts w:hint="default" w:ascii="Times New Roman" w:hAnsi="Times New Roman" w:eastAsia="方正仿宋简体" w:cs="Times New Roman"/>
          <w:b/>
          <w:sz w:val="28"/>
          <w:lang w:val="en-US" w:eastAsia="zh-CN"/>
        </w:rPr>
        <w:t>一般公共预算当年拨款情况说明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（一）一般公共预算当年拨款总体情况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（二）一般公共预算当年拨款结构情况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val="en-US" w:eastAsia="zh-CN"/>
        </w:rPr>
        <w:t>（三）一般公共预算当年拨款具体情况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（四）一般公共预算基本支出情况说明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lang w:eastAsia="zh-CN"/>
        </w:rPr>
      </w:pPr>
      <w:r>
        <w:rPr>
          <w:rFonts w:hint="default" w:ascii="Times New Roman" w:hAnsi="Times New Roman" w:eastAsia="方正仿宋简体" w:cs="Times New Roman"/>
          <w:b/>
          <w:sz w:val="28"/>
          <w:lang w:eastAsia="zh-CN"/>
        </w:rPr>
        <w:t>（五）一般公共预算项目支出情况说明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五、</w:t>
      </w:r>
      <w:r>
        <w:rPr>
          <w:rFonts w:hint="default" w:ascii="Times New Roman" w:hAnsi="Times New Roman" w:eastAsia="方正仿宋简体" w:cs="Times New Roman"/>
          <w:b/>
          <w:sz w:val="28"/>
        </w:rPr>
        <w:t>“三公”经费财政拨款预算安排情况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六</w:t>
      </w:r>
      <w:r>
        <w:rPr>
          <w:rFonts w:hint="default" w:ascii="Times New Roman" w:hAnsi="Times New Roman" w:eastAsia="方正仿宋简体" w:cs="Times New Roman"/>
          <w:b/>
          <w:sz w:val="28"/>
        </w:rPr>
        <w:t>、政府性基金预算支出情况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七</w:t>
      </w:r>
      <w:r>
        <w:rPr>
          <w:rFonts w:hint="default" w:ascii="Times New Roman" w:hAnsi="Times New Roman" w:eastAsia="方正仿宋简体" w:cs="Times New Roman"/>
          <w:b/>
          <w:sz w:val="28"/>
        </w:rPr>
        <w:t>、国有资本经营预算支出情况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八</w:t>
      </w:r>
      <w:r>
        <w:rPr>
          <w:rFonts w:hint="default" w:ascii="Times New Roman" w:hAnsi="Times New Roman" w:eastAsia="方正仿宋简体" w:cs="Times New Roman"/>
          <w:b/>
          <w:sz w:val="28"/>
        </w:rPr>
        <w:t>、政府性基金预算“三公”经费支出情况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九</w:t>
      </w:r>
      <w:r>
        <w:rPr>
          <w:rFonts w:hint="default" w:ascii="Times New Roman" w:hAnsi="Times New Roman" w:eastAsia="方正仿宋简体" w:cs="Times New Roman"/>
          <w:b/>
          <w:sz w:val="28"/>
        </w:rPr>
        <w:t>、其他重要事项的情况说明</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（一）机关运行经费</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（二）政府采购预算安排情况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（三）国有资产占用情况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（四）预算绩效情况</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lang w:eastAsia="zh-CN"/>
        </w:rPr>
        <w:t>十</w:t>
      </w:r>
      <w:r>
        <w:rPr>
          <w:rFonts w:hint="default" w:ascii="Times New Roman" w:hAnsi="Times New Roman" w:eastAsia="方正仿宋简体" w:cs="Times New Roman"/>
          <w:b/>
          <w:sz w:val="28"/>
        </w:rPr>
        <w:t>、名词解释</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32"/>
        </w:rPr>
      </w:pPr>
      <w:r>
        <w:rPr>
          <w:rFonts w:hint="default" w:ascii="Times New Roman" w:hAnsi="Times New Roman" w:eastAsia="方正仿宋简体" w:cs="Times New Roman"/>
          <w:b/>
          <w:sz w:val="28"/>
        </w:rPr>
        <w:t>附件：202</w:t>
      </w:r>
      <w:r>
        <w:rPr>
          <w:rFonts w:hint="eastAsia" w:ascii="Times New Roman" w:hAnsi="Times New Roman" w:cs="Times New Roman"/>
          <w:b/>
          <w:sz w:val="28"/>
          <w:lang w:val="en-US" w:eastAsia="zh-CN"/>
        </w:rPr>
        <w:t>4</w:t>
      </w:r>
      <w:r>
        <w:rPr>
          <w:rFonts w:hint="default" w:ascii="Times New Roman" w:hAnsi="Times New Roman" w:eastAsia="方正仿宋简体" w:cs="Times New Roman"/>
          <w:b/>
          <w:sz w:val="28"/>
        </w:rPr>
        <w:t>年</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预算公开表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表1.单位收支总表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表1-1.单位收入总表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表1-2.单位支出总表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表2.财政拨款收支预算总表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表2-1.财政拨款支出预算表（部门经济分类科目）</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表3.一般公共预算支出预算表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表3-1.一般公共预算基本支出预算表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表3-2.一般公共预算项目支出预算表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表4.政府性基金支出预算表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表5.国有资本经营预算支出预算表</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eastAsia="方正仿宋简体" w:cs="Times New Roman"/>
          <w:b/>
          <w:sz w:val="28"/>
        </w:rPr>
      </w:pPr>
      <w:r>
        <w:rPr>
          <w:rFonts w:hint="default" w:ascii="Times New Roman" w:hAnsi="Times New Roman" w:eastAsia="方正仿宋简体" w:cs="Times New Roman"/>
          <w:b/>
          <w:sz w:val="28"/>
        </w:rPr>
        <w:t>表6.</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预算项目绩效目标申报表（202</w:t>
      </w:r>
      <w:r>
        <w:rPr>
          <w:rFonts w:hint="eastAsia" w:ascii="Times New Roman" w:hAnsi="Times New Roman" w:cs="Times New Roman"/>
          <w:b/>
          <w:sz w:val="28"/>
          <w:lang w:val="en-US" w:eastAsia="zh-CN"/>
        </w:rPr>
        <w:t>4</w:t>
      </w:r>
      <w:r>
        <w:rPr>
          <w:rFonts w:hint="default" w:ascii="Times New Roman" w:hAnsi="Times New Roman" w:eastAsia="方正仿宋简体" w:cs="Times New Roman"/>
          <w:b/>
          <w:sz w:val="28"/>
        </w:rPr>
        <w:t>年度）</w:t>
      </w:r>
    </w:p>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562" w:firstLineChars="200"/>
        <w:textAlignment w:val="auto"/>
        <w:rPr>
          <w:rFonts w:hint="default" w:ascii="Times New Roman" w:hAnsi="Times New Roman" w:cs="Times New Roman"/>
          <w:sz w:val="21"/>
        </w:rPr>
      </w:pPr>
      <w:r>
        <w:rPr>
          <w:rFonts w:hint="default" w:ascii="Times New Roman" w:hAnsi="Times New Roman" w:eastAsia="方正仿宋简体" w:cs="Times New Roman"/>
          <w:b/>
          <w:sz w:val="28"/>
        </w:rPr>
        <w:t>表7.</w:t>
      </w:r>
      <w:r>
        <w:rPr>
          <w:rFonts w:hint="default" w:ascii="Times New Roman" w:hAnsi="Times New Roman" w:eastAsia="方正仿宋简体" w:cs="Times New Roman"/>
          <w:b/>
          <w:sz w:val="28"/>
          <w:lang w:eastAsia="zh-CN"/>
        </w:rPr>
        <w:t>单位</w:t>
      </w:r>
      <w:r>
        <w:rPr>
          <w:rFonts w:hint="default" w:ascii="Times New Roman" w:hAnsi="Times New Roman" w:eastAsia="方正仿宋简体" w:cs="Times New Roman"/>
          <w:b/>
          <w:sz w:val="28"/>
        </w:rPr>
        <w:t>整体支出绩效目标申报表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rPr>
      </w:pP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宋体" w:cs="Times New Roman"/>
          <w:sz w:val="32"/>
          <w:szCs w:val="32"/>
        </w:rPr>
      </w:pPr>
      <w:r>
        <w:rPr>
          <w:rFonts w:hint="default" w:ascii="Times New Roman" w:hAnsi="Times New Roman" w:eastAsia="方正黑体简体" w:cs="Times New Roman"/>
          <w:sz w:val="32"/>
          <w:szCs w:val="32"/>
        </w:rPr>
        <w:t>一、</w:t>
      </w:r>
      <w:r>
        <w:rPr>
          <w:rFonts w:hint="default" w:ascii="Times New Roman" w:hAnsi="Times New Roman" w:eastAsia="方正黑体简体" w:cs="Times New Roman"/>
          <w:sz w:val="32"/>
          <w:szCs w:val="32"/>
          <w:lang w:eastAsia="zh-CN"/>
        </w:rPr>
        <w:t>单位</w:t>
      </w:r>
      <w:r>
        <w:rPr>
          <w:rFonts w:hint="default" w:ascii="Times New Roman" w:hAnsi="Times New Roman" w:eastAsia="方正黑体简体" w:cs="Times New Roman"/>
          <w:sz w:val="32"/>
          <w:szCs w:val="32"/>
        </w:rPr>
        <w:t>基本情况</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（一）主要职责</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1.贯彻执行党的路线、方针、政策，根据县委、市总工会的部署，结合泸县实际，确定工会工作的指导思想、目标和任务，指导全县工会工作。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3.对有关职工利益的重大问题进行调查研究，向县委、县政府和市总工会反映职工的愿望和要求，并提出意见和建议，参与涉及职工切身利益的有关政策、措施和制度的制定。</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4.指导各级工会加强自身建设和改革，监督检查《中国工会章程》的贯彻执行，按照县委和市总工会的要求，研究制定工会的各项组织制度和民主制度。</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5.同县级有关部门党组（党委）协商推荐机关工会、机关工委和县级产业工会的主要领导人选，加强领导班子建设；研究制定工会干部的管理制度和培训计划，加强工会干部队伍建设。</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6.协助县政府做好县级以上劳动模范的推荐、评选和管理工作。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7.负责全县工会经费的管理、审查工作；根据上级有关精神，负责全县工会事业发展的指导、协调工作。</w:t>
      </w:r>
    </w:p>
    <w:p>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8.承办县委、县政府和市总工会交办的其他事宜。</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（二）机构设置</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泸县总工会内设两部一室，下属二级事业单位1个（泸县群团工作中心）。</w:t>
      </w:r>
    </w:p>
    <w:p>
      <w:pPr>
        <w:pStyle w:val="2"/>
        <w:bidi w:val="0"/>
        <w:rPr>
          <w:rFonts w:hint="default" w:ascii="Times New Roman" w:hAnsi="Times New Roman" w:eastAsia="方正楷体简体" w:cs="Times New Roman"/>
          <w:b/>
          <w:szCs w:val="22"/>
          <w:lang w:val="en-US" w:eastAsia="zh-CN"/>
        </w:rPr>
      </w:pPr>
      <w:r>
        <w:rPr>
          <w:rFonts w:hint="default" w:ascii="Times New Roman" w:hAnsi="Times New Roman" w:cs="Times New Roman"/>
          <w:lang w:val="en-US" w:eastAsia="zh-CN"/>
        </w:rPr>
        <w:t>泸县总工会总编制数24名，其中行政编制6名，事业编制18名（泸县群团工作中心）。在职人员总数25名，其中：行政人员7名，事业人员18名；退休人员6名。</w:t>
      </w:r>
    </w:p>
    <w:p>
      <w:pPr>
        <w:pStyle w:val="2"/>
        <w:keepNext w:val="0"/>
        <w:keepLines w:val="0"/>
        <w:pageBreakBefore w:val="0"/>
        <w:widowControl w:val="0"/>
        <w:kinsoku/>
        <w:wordWrap/>
        <w:overflowPunct/>
        <w:topLinePunct w:val="0"/>
        <w:autoSpaceDE/>
        <w:autoSpaceDN/>
        <w:bidi w:val="0"/>
        <w:adjustRightInd w:val="0"/>
        <w:snapToGrid/>
        <w:spacing w:before="0" w:beforeLines="0" w:line="578" w:lineRule="exact"/>
        <w:ind w:firstLine="675" w:firstLineChars="210"/>
        <w:textAlignment w:val="auto"/>
        <w:rPr>
          <w:rFonts w:hint="default" w:ascii="Times New Roman" w:hAnsi="Times New Roman" w:eastAsia="方正楷体简体" w:cs="Times New Roman"/>
          <w:b/>
          <w:sz w:val="32"/>
          <w:szCs w:val="22"/>
          <w:lang w:val="en-US" w:eastAsia="zh-CN"/>
        </w:rPr>
      </w:pPr>
      <w:r>
        <w:rPr>
          <w:rFonts w:hint="default" w:ascii="Times New Roman" w:hAnsi="Times New Roman" w:eastAsia="方正楷体简体" w:cs="Times New Roman"/>
          <w:b/>
          <w:sz w:val="32"/>
          <w:szCs w:val="22"/>
          <w:lang w:val="en-US" w:eastAsia="zh-CN"/>
        </w:rPr>
        <w:t>（三）2024年重点工作</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1.继续开展丰富多样的职业技能比赛，为职工岗位练兵、技术比武提供平台，承办泸州市第十九届职工职业技能大赛。</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2.投入资金5万元，举办法律讲座20场等法律服务。投入资金4.5万元开展农民工返乡活动。投入资金10万元，开展农民工就业技能培训。</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3.投入资金20万元，持续推进“户外劳动者服务站点”建设工作。投入资金36万元，持续开展“四季惠”普惠活动。投入资金6万元，开展女职工素质提升活动。</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4.持续推进社会组织和非公企业建会入会工作，强化基层工会组织规范化建设，有效扩大工会组织覆盖面。</w:t>
      </w:r>
    </w:p>
    <w:p>
      <w:pPr>
        <w:pStyle w:val="2"/>
        <w:bidi w:val="0"/>
        <w:rPr>
          <w:rFonts w:hint="default" w:ascii="Times New Roman" w:hAnsi="Times New Roman" w:cs="Times New Roman"/>
          <w:lang w:val="en-US" w:eastAsia="zh-CN"/>
        </w:rPr>
      </w:pPr>
      <w:r>
        <w:rPr>
          <w:rFonts w:hint="default" w:ascii="Times New Roman" w:hAnsi="Times New Roman" w:cs="Times New Roman"/>
          <w:lang w:val="en-US" w:eastAsia="zh-CN"/>
        </w:rPr>
        <w:t>5.常态化开展好“守初心解难题办实事开新局”工会干部赴基层蹲点工作，始终坚持“四个原则”和做好五大主要任务。</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二、收支预算总体情况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按照综合预算的原则，泸县总工会所有收入和支出均纳入单位预算管理。收入包括：一般公共预算拨款收入；支出包括：一般公共服务支出、社会保障和就业支出、卫生健康支出、住房保障支出。泸县总工会2024年收支预算总数439.68万元，较2023年收支预算总数减少28.99万元，下降6.19%，下降原因主要为人员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楷体简体" w:cs="Times New Roman"/>
          <w:b/>
          <w:kern w:val="2"/>
          <w:sz w:val="32"/>
          <w:szCs w:val="22"/>
          <w:lang w:val="en-US" w:eastAsia="zh-CN" w:bidi="ar-SA"/>
        </w:rPr>
      </w:pPr>
      <w:r>
        <w:rPr>
          <w:rFonts w:hint="default" w:ascii="Times New Roman" w:hAnsi="Times New Roman" w:eastAsia="方正楷体简体" w:cs="Times New Roman"/>
          <w:b/>
          <w:kern w:val="2"/>
          <w:sz w:val="32"/>
          <w:szCs w:val="22"/>
          <w:lang w:val="en-US" w:eastAsia="zh-CN" w:bidi="ar-SA"/>
        </w:rPr>
        <w:t>（一）收入预算情况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泸县总工会2024年收入预算总额为439.68万元，其中：一般公共预算拨款收入439.68万元，占100%。上年结转一般公共预算拨款收入0万元，政府性基金预算0万元。</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jc w:val="left"/>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楷体简体" w:cs="Times New Roman"/>
          <w:b/>
          <w:kern w:val="2"/>
          <w:sz w:val="32"/>
          <w:szCs w:val="22"/>
          <w:lang w:val="en-US" w:eastAsia="zh-CN" w:bidi="ar-SA"/>
        </w:rPr>
        <w:t>（二）支出预算情况</w:t>
      </w:r>
    </w:p>
    <w:p>
      <w:pPr>
        <w:bidi w:val="0"/>
        <w:rPr>
          <w:rFonts w:hint="default" w:ascii="Times New Roman" w:hAnsi="Times New Roman" w:eastAsia="宋体" w:cs="Times New Roman"/>
          <w:szCs w:val="32"/>
        </w:rPr>
      </w:pPr>
      <w:r>
        <w:rPr>
          <w:rFonts w:hint="default" w:ascii="Times New Roman" w:hAnsi="Times New Roman" w:cs="Times New Roman"/>
          <w:lang w:val="en-US" w:eastAsia="zh-CN"/>
        </w:rPr>
        <w:t>泸县总工会2024年支出预算总额为439.68万元，其中：人员支出378.06万元、占85.99%，日常公用支出59.62万元、占13.56%，项目支出2万元、占0.45%。</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三、财政拨款收支预算安排情况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泸县总工会2024年财政拨款收支预算总数439.68万元，较2023年财政拨款收支预算总数减少28.99万元，下降6.19%，下降原因主要为人员减少。</w:t>
      </w:r>
    </w:p>
    <w:p>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收入包括：当年一般公共预算拨款收入439.68万元；支出包括：一般公共服务支出346.88万元、社会保障和就业支出43.60万元、卫生健康支出16.50万元、住房保障支出32.70万元。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四、一般公共预算当年拨款情况说明</w:t>
      </w:r>
    </w:p>
    <w:p>
      <w:pPr>
        <w:pStyle w:val="3"/>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（一）一般公共预算当年拨款总体情况</w:t>
      </w:r>
    </w:p>
    <w:p>
      <w:pPr>
        <w:bidi w:val="0"/>
        <w:rPr>
          <w:rFonts w:hint="default" w:ascii="Times New Roman" w:hAnsi="Times New Roman" w:eastAsia="仿宋_GB2312" w:cs="Times New Roman"/>
          <w:bCs/>
          <w:spacing w:val="0"/>
          <w:kern w:val="2"/>
          <w:szCs w:val="32"/>
          <w:highlight w:val="none"/>
          <w:lang w:val="en-US" w:eastAsia="zh-CN" w:bidi="ar-SA"/>
        </w:rPr>
      </w:pPr>
      <w:r>
        <w:rPr>
          <w:rFonts w:hint="default" w:ascii="Times New Roman" w:hAnsi="Times New Roman" w:cs="Times New Roman"/>
          <w:lang w:val="en-US" w:eastAsia="zh-CN"/>
        </w:rPr>
        <w:t>泸县总工会2024年收支预算总数439.68万元，较2023年收支预算总数减少28.99万元，下降6.19%，下降原因主要为人员减少。</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（二）一般公共预算当年拨款结构情况</w:t>
      </w:r>
    </w:p>
    <w:p>
      <w:pPr>
        <w:bidi w:val="0"/>
        <w:rPr>
          <w:rFonts w:hint="default" w:ascii="Times New Roman" w:hAnsi="Times New Roman" w:eastAsia="仿宋_GB2312" w:cs="Times New Roman"/>
          <w:bCs/>
          <w:kern w:val="2"/>
          <w:szCs w:val="32"/>
          <w:highlight w:val="none"/>
          <w:lang w:val="en-US" w:eastAsia="zh-CN" w:bidi="ar-SA"/>
        </w:rPr>
      </w:pPr>
      <w:r>
        <w:rPr>
          <w:rFonts w:hint="default" w:ascii="Times New Roman" w:hAnsi="Times New Roman" w:cs="Times New Roman"/>
          <w:lang w:val="en-US" w:eastAsia="zh-CN"/>
        </w:rPr>
        <w:t>一般公共服务支出346.88万元，占78.89%；社会保障和就业支出43.60万元，占9.92%；卫生健康支出16.50万元，占3.75%；住房保障支出32.70万元，占7.44%。</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楷体简体" w:cs="Times New Roman"/>
          <w:b/>
          <w:spacing w:val="0"/>
          <w:kern w:val="2"/>
          <w:sz w:val="32"/>
          <w:szCs w:val="22"/>
          <w:lang w:val="en-US" w:eastAsia="zh-CN" w:bidi="ar-SA"/>
        </w:rPr>
        <w:t>（三）一般公共预算当年拨款具体情况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1.泸县总工会一般公共服务支出（类）财政事务（款）行政运行（项）2024年预算数为159.47万元，主要用于：行政人员经费和公用经费。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2.泸县总工会一般公共服务支出（类）财政事务（款）一般行政管理事务（项）2024年预算数为185.41万元，主要用于：事业人员经费和公用经费。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3.泸县总工会社会保障和就业支出（类）行政事业单位养老支出（款）机关事业单位基本养老保险缴费支出（项）2024年预算数为43.60万元，主要用于：机关事业单位基本养老保险缴费支出。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4.泸县总工会卫生健康支出（类）行政事业单位医疗（款）行政单位医疗（项）2024年预算数为16.50万元，主要用于：行政事业单位医疗缴费支出。</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5.泸县总工会住房保障支出（类）住房改革支出（款）住房公积金（项）2024年预算数为32.70万元，主要用于：住房公积金缴费支出。</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（四）一般公共预算基本支出情况说明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泸县总工会2024年基本支出预算总额437.68万元。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人员支出378.06万元，其中：基本工资98.89万元，津贴补贴21.62万元、绩效工资115.53万元、奖金36.49万元。</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日常公用支出59.62万元，其中：办公费15万元、印刷费4.5万元、咨询费1万元、手续费1万元、水费1万元、电费5万元、邮电费3.5万元、差旅费6万元、维护费2.5万元、公务接待费1.5万元、专用燃料费2万元、劳务费2万元、委托业务费2万元、其他交通费8万元、其他商品和服务支出4.62万元。</w:t>
      </w:r>
    </w:p>
    <w:p>
      <w:pPr>
        <w:keepNext w:val="0"/>
        <w:keepLines w:val="0"/>
        <w:pageBreakBefore w:val="0"/>
        <w:widowControl w:val="0"/>
        <w:kinsoku/>
        <w:wordWrap/>
        <w:overflowPunct/>
        <w:topLinePunct w:val="0"/>
        <w:autoSpaceDE/>
        <w:autoSpaceDN/>
        <w:bidi w:val="0"/>
        <w:snapToGrid/>
        <w:spacing w:line="578" w:lineRule="exact"/>
        <w:ind w:firstLine="643"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楷体简体" w:cs="Times New Roman"/>
          <w:b/>
          <w:spacing w:val="0"/>
          <w:kern w:val="2"/>
          <w:sz w:val="32"/>
          <w:szCs w:val="22"/>
          <w:lang w:val="en-US" w:eastAsia="zh-CN" w:bidi="ar-SA"/>
        </w:rPr>
        <w:t>（五）一般公共预算项目支出情况说明</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泸县总工会2024年项目支出预算总额2万元，其中：维权帮扶项目2万元。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五、“三公”经费财政拨款预算安排情况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三公”经费财政拨款预算数1.5万元，其中：因公出国（境）经费0万元，公务接待费1.5万元，公务用车购置及运行维护费0万元（公务用车运行维护费0万元、公务用车购置费0万元）。2024年“三公”经费财政拨款预算数与上年预算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（一）因公出国（境）经费与上年预算相比持平。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（二）公务接待费与上年预算相比持平。本年度公务接待费计划主要用于接待工会工作经验交流。</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（三）公务用车运行维护费与上年预算相比持平。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（四）公务用车购置费与上年预算相比持平。</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泸县总工会现有公务用车0辆，其中：轿车0辆，越野车0辆，多功能乘用车0辆。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六、政府性基金预算支出情况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cs="Times New Roman"/>
          <w:bCs/>
          <w:kern w:val="2"/>
          <w:sz w:val="32"/>
          <w:szCs w:val="32"/>
          <w:highlight w:val="none"/>
          <w:lang w:val="en-US" w:eastAsia="zh-CN" w:bidi="ar-SA"/>
        </w:rPr>
        <w:t>泸县总工会</w:t>
      </w:r>
      <w:r>
        <w:rPr>
          <w:rFonts w:hint="default" w:ascii="Times New Roman" w:hAnsi="Times New Roman" w:eastAsia="方正仿宋简体" w:cs="Times New Roman"/>
          <w:bCs/>
          <w:kern w:val="2"/>
          <w:sz w:val="32"/>
          <w:szCs w:val="32"/>
          <w:highlight w:val="none"/>
          <w:lang w:val="en-US" w:eastAsia="zh-CN" w:bidi="ar-SA"/>
        </w:rPr>
        <w:t>202</w:t>
      </w:r>
      <w:r>
        <w:rPr>
          <w:rFonts w:hint="default" w:ascii="Times New Roman" w:hAnsi="Times New Roman"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年政府性基金预算拨款安排支出</w:t>
      </w:r>
      <w:r>
        <w:rPr>
          <w:rFonts w:hint="default" w:ascii="Times New Roman" w:hAnsi="Times New Roman" w:cs="Times New Roman"/>
          <w:bCs/>
          <w:kern w:val="2"/>
          <w:sz w:val="32"/>
          <w:szCs w:val="32"/>
          <w:highlight w:val="none"/>
          <w:lang w:val="en-US" w:eastAsia="zh-CN" w:bidi="ar-SA"/>
        </w:rPr>
        <w:t>0</w:t>
      </w:r>
      <w:r>
        <w:rPr>
          <w:rFonts w:hint="default" w:ascii="Times New Roman" w:hAnsi="Times New Roman" w:eastAsia="方正仿宋简体" w:cs="Times New Roman"/>
          <w:bCs/>
          <w:kern w:val="2"/>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七、国有资本经营预算支出情况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泸县总工会2024年国有资本经营预算安排支出0万元。</w:t>
      </w:r>
    </w:p>
    <w:p>
      <w:pPr>
        <w:keepNext w:val="0"/>
        <w:keepLines w:val="0"/>
        <w:pageBreakBefore w:val="0"/>
        <w:widowControl w:val="0"/>
        <w:numPr>
          <w:ilvl w:val="0"/>
          <w:numId w:val="0"/>
        </w:numPr>
        <w:kinsoku/>
        <w:wordWrap/>
        <w:overflowPunct/>
        <w:topLinePunct w:val="0"/>
        <w:autoSpaceDE/>
        <w:autoSpaceDN/>
        <w:bidi w:val="0"/>
        <w:snapToGrid/>
        <w:spacing w:line="578" w:lineRule="exact"/>
        <w:ind w:left="64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黑体简体" w:cs="Times New Roman"/>
          <w:sz w:val="32"/>
          <w:szCs w:val="32"/>
          <w:lang w:val="en-US" w:eastAsia="zh-CN"/>
        </w:rPr>
        <w:t>八、政府性基金预算“三公”经费支出情况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泸县总工会2024年政府性基金预算“三公”经费预算数0万元，因公出国（境）经费0万元，公务</w:t>
      </w:r>
      <w:bookmarkStart w:id="0" w:name="_GoBack"/>
      <w:bookmarkEnd w:id="0"/>
      <w:r>
        <w:rPr>
          <w:rFonts w:hint="default" w:ascii="Times New Roman" w:hAnsi="Times New Roman" w:cs="Times New Roman"/>
          <w:lang w:val="en-US" w:eastAsia="zh-CN"/>
        </w:rPr>
        <w:t>接待费0万元，公务用车购置及运行维护费0万元，其中公务用车运行维护费0万元、公务用车购置费0万元。</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九、其他重要事项的情况说明</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楷体_GB2312" w:cs="Times New Roman"/>
          <w:b/>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（一）机关运行经费</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泸县总工会机关运行经费财政拨款预算59.62万元，比上年预算33.5万元增加26.12万元、增长77.97%，变动的主要原因为运转泸县党群活动中心。</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（二）政府采购预算安排情况</w:t>
      </w:r>
    </w:p>
    <w:p>
      <w:pPr>
        <w:bidi w:val="0"/>
        <w:rPr>
          <w:rFonts w:hint="default" w:ascii="Times New Roman" w:hAnsi="Times New Roman" w:eastAsia="方正仿宋简体" w:cs="Times New Roman"/>
          <w:bCs/>
          <w:kern w:val="2"/>
          <w:szCs w:val="32"/>
          <w:highlight w:val="none"/>
          <w:lang w:val="en-US" w:eastAsia="zh-CN" w:bidi="ar-SA"/>
        </w:rPr>
      </w:pPr>
      <w:r>
        <w:rPr>
          <w:rFonts w:hint="default" w:ascii="Times New Roman" w:hAnsi="Times New Roman" w:cs="Times New Roman"/>
          <w:lang w:val="en-US" w:eastAsia="zh-CN"/>
        </w:rPr>
        <w:t>泸县总工会政府采购预算0万元，与上年预算持平。</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（三）国有资产占用情况</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截至2023</w:t>
      </w:r>
      <w:r>
        <w:rPr>
          <w:rFonts w:hint="default" w:ascii="Times New Roman" w:hAnsi="Times New Roman" w:cs="Times New Roman"/>
          <w:lang w:val="en-US" w:eastAsia="zh-CN"/>
        </w:rPr>
        <w:t>年底，泸县总工会共有车辆0辆，其中：一般公务用车0辆、执法执勤用车0辆、特种专业技术用车0辆、业务用车0辆。单位价值200万元以上大型设备0台（套）。泸县总工会2023年单位预算安排购置车辆及单位价值200万元以上大型设备经费0万元。</w:t>
      </w:r>
    </w:p>
    <w:p>
      <w:pPr>
        <w:keepNext w:val="0"/>
        <w:keepLines w:val="0"/>
        <w:pageBreakBefore w:val="0"/>
        <w:widowControl w:val="0"/>
        <w:kinsoku/>
        <w:wordWrap/>
        <w:overflowPunct/>
        <w:topLinePunct w:val="0"/>
        <w:autoSpaceDE/>
        <w:autoSpaceDN/>
        <w:bidi w:val="0"/>
        <w:snapToGrid/>
        <w:spacing w:line="578" w:lineRule="exact"/>
        <w:ind w:firstLine="640"/>
        <w:textAlignment w:val="auto"/>
        <w:rPr>
          <w:rFonts w:hint="default" w:ascii="Times New Roman" w:hAnsi="Times New Roman" w:eastAsia="方正楷体简体" w:cs="Times New Roman"/>
          <w:b/>
          <w:spacing w:val="0"/>
          <w:kern w:val="2"/>
          <w:sz w:val="32"/>
          <w:szCs w:val="22"/>
          <w:lang w:val="en-US" w:eastAsia="zh-CN" w:bidi="ar-SA"/>
        </w:rPr>
      </w:pPr>
      <w:r>
        <w:rPr>
          <w:rFonts w:hint="default" w:ascii="Times New Roman" w:hAnsi="Times New Roman" w:eastAsia="方正楷体简体" w:cs="Times New Roman"/>
          <w:b/>
          <w:spacing w:val="0"/>
          <w:kern w:val="2"/>
          <w:sz w:val="32"/>
          <w:szCs w:val="22"/>
          <w:lang w:val="en-US" w:eastAsia="zh-CN" w:bidi="ar-SA"/>
        </w:rPr>
        <w:t>（四）预算绩效情况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2023年单位整体支出绩效目标是：开展职工思想政治和文化技术教育，建设“四有”职工队伍，提升职工素质。充分发挥广大职工群众的积极性，动员和组织职工参加建设和改革，促进社会经济发展。维护职工合法权益，对困难职工开展帮扶救助、提供法律援助。加强组织建设、扩大工会组织覆盖面，代表和组织职工参与国家和社会事务管理、参与企业、事业、机关的民主管理。</w:t>
      </w:r>
    </w:p>
    <w:p>
      <w:pPr>
        <w:keepNext w:val="0"/>
        <w:keepLines w:val="0"/>
        <w:pageBreakBefore w:val="0"/>
        <w:widowControl w:val="0"/>
        <w:kinsoku/>
        <w:wordWrap/>
        <w:overflowPunct/>
        <w:topLinePunct w:val="0"/>
        <w:autoSpaceDE/>
        <w:autoSpaceDN/>
        <w:bidi w:val="0"/>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方正黑体简体" w:cs="Times New Roman"/>
          <w:sz w:val="32"/>
          <w:szCs w:val="32"/>
          <w:lang w:val="en-US" w:eastAsia="zh-CN"/>
        </w:rPr>
        <w:t>十、名词解释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（一）一般公共预算拨款收入：指县级财政当年拨付的资金。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（三）社会保障和就业（类）行政事业单位离退休（款）机关事业单位基本养老保险缴费支出（项）：指单位实施养老保险制度由单位缴纳的养老保险费的支出。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（四）卫生健康（类）行政事业单位医疗（款）行政单位医疗（项）：指机关及参公管理事业单位用于缴纳单位基本医疗保险支出。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（五）卫生健康（类）行政事业单位医疗（款）事业单位医疗（项）：指事业单位用于缴纳单位基本医疗保险支出。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（六）卫生健康（类）行政事业单位医疗（款）公务员医疗补助（项）：指机关及参公管理事业单位用于集中缴纳公务员医疗补助支出。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（七）住房保障（类）住房改革支出（款）住房公积金（项）：指按照《住房公积金管理条例》的规定，由单位及其在职职工缴存的长期住房储金。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（八）基本支出：指为保证机构正常运转，完成日常工作任务而发生的人员支出和公用支出。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十）“三公”经费：纳入单位预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default" w:ascii="Times New Roman" w:hAnsi="Times New Roman" w:eastAsia="仿宋_GB2312" w:cs="Times New Roman"/>
          <w:bCs/>
          <w:kern w:val="2"/>
          <w:sz w:val="32"/>
          <w:szCs w:val="32"/>
          <w:highlight w:val="no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Cs/>
          <w:kern w:val="2"/>
          <w:sz w:val="32"/>
          <w:szCs w:val="32"/>
          <w:highlight w:val="none"/>
          <w:lang w:val="en-US" w:eastAsia="zh-CN" w:bidi="ar-SA"/>
        </w:rPr>
      </w:pPr>
      <w:r>
        <w:rPr>
          <w:rFonts w:hint="default" w:ascii="Times New Roman" w:hAnsi="Times New Roman" w:eastAsia="方正仿宋简体" w:cs="Times New Roman"/>
          <w:bCs/>
          <w:kern w:val="2"/>
          <w:sz w:val="32"/>
          <w:szCs w:val="32"/>
          <w:highlight w:val="none"/>
          <w:lang w:val="en-US" w:eastAsia="zh-CN" w:bidi="ar-SA"/>
        </w:rPr>
        <w:t>附件：202</w:t>
      </w:r>
      <w:r>
        <w:rPr>
          <w:rFonts w:hint="eastAsia" w:ascii="Times New Roman" w:hAnsi="Times New Roman" w:cs="Times New Roman"/>
          <w:bCs/>
          <w:kern w:val="2"/>
          <w:sz w:val="32"/>
          <w:szCs w:val="32"/>
          <w:highlight w:val="none"/>
          <w:lang w:val="en-US" w:eastAsia="zh-CN" w:bidi="ar-SA"/>
        </w:rPr>
        <w:t>4</w:t>
      </w:r>
      <w:r>
        <w:rPr>
          <w:rFonts w:hint="default" w:ascii="Times New Roman" w:hAnsi="Times New Roman" w:eastAsia="方正仿宋简体" w:cs="Times New Roman"/>
          <w:bCs/>
          <w:kern w:val="2"/>
          <w:sz w:val="32"/>
          <w:szCs w:val="32"/>
          <w:highlight w:val="none"/>
          <w:lang w:val="en-US" w:eastAsia="zh-CN" w:bidi="ar-SA"/>
        </w:rPr>
        <w:t>年单位预算公开表</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WFhMjI0Mjk3YjVjNDdjOThiZmRjYjQ3YWQyNTQifQ=="/>
  </w:docVars>
  <w:rsids>
    <w:rsidRoot w:val="00172A27"/>
    <w:rsid w:val="002E32DD"/>
    <w:rsid w:val="00AB7F1E"/>
    <w:rsid w:val="00D54240"/>
    <w:rsid w:val="01C27A9D"/>
    <w:rsid w:val="05D95676"/>
    <w:rsid w:val="06A642C7"/>
    <w:rsid w:val="0709797F"/>
    <w:rsid w:val="093F00FF"/>
    <w:rsid w:val="0B853A04"/>
    <w:rsid w:val="0DB7554F"/>
    <w:rsid w:val="0DDB1959"/>
    <w:rsid w:val="0E284F49"/>
    <w:rsid w:val="0E85422C"/>
    <w:rsid w:val="0F3F5C45"/>
    <w:rsid w:val="10B624A4"/>
    <w:rsid w:val="12C63064"/>
    <w:rsid w:val="134B5790"/>
    <w:rsid w:val="13A5110F"/>
    <w:rsid w:val="170254ED"/>
    <w:rsid w:val="185204F4"/>
    <w:rsid w:val="19D02067"/>
    <w:rsid w:val="1B295D90"/>
    <w:rsid w:val="1B767A6F"/>
    <w:rsid w:val="1BC14449"/>
    <w:rsid w:val="1C365BEA"/>
    <w:rsid w:val="1CC356BE"/>
    <w:rsid w:val="1D3E5B08"/>
    <w:rsid w:val="1D5465E1"/>
    <w:rsid w:val="1D5D1834"/>
    <w:rsid w:val="1FAB2480"/>
    <w:rsid w:val="1FE068A4"/>
    <w:rsid w:val="20922719"/>
    <w:rsid w:val="21562FAF"/>
    <w:rsid w:val="21A70A44"/>
    <w:rsid w:val="2390761E"/>
    <w:rsid w:val="25CA6218"/>
    <w:rsid w:val="26D6562A"/>
    <w:rsid w:val="271A3D28"/>
    <w:rsid w:val="273B797B"/>
    <w:rsid w:val="29D9065C"/>
    <w:rsid w:val="2B4B0745"/>
    <w:rsid w:val="2C223A19"/>
    <w:rsid w:val="2C424021"/>
    <w:rsid w:val="2C655DC1"/>
    <w:rsid w:val="31577855"/>
    <w:rsid w:val="321E1BFE"/>
    <w:rsid w:val="327344B1"/>
    <w:rsid w:val="33386EC5"/>
    <w:rsid w:val="33DC4374"/>
    <w:rsid w:val="33DF156C"/>
    <w:rsid w:val="356D58CB"/>
    <w:rsid w:val="36461B2A"/>
    <w:rsid w:val="388371D3"/>
    <w:rsid w:val="3937297E"/>
    <w:rsid w:val="3A1B7A88"/>
    <w:rsid w:val="3A3E39F1"/>
    <w:rsid w:val="3B63409B"/>
    <w:rsid w:val="3C454250"/>
    <w:rsid w:val="3CC00295"/>
    <w:rsid w:val="3FF3232A"/>
    <w:rsid w:val="41962C0B"/>
    <w:rsid w:val="41D82528"/>
    <w:rsid w:val="458B6CB0"/>
    <w:rsid w:val="45C506B2"/>
    <w:rsid w:val="46EC3764"/>
    <w:rsid w:val="47077FF9"/>
    <w:rsid w:val="47CC386B"/>
    <w:rsid w:val="49021884"/>
    <w:rsid w:val="49396AD9"/>
    <w:rsid w:val="4B7C2B50"/>
    <w:rsid w:val="4CFC15F6"/>
    <w:rsid w:val="521A3146"/>
    <w:rsid w:val="52BA10C9"/>
    <w:rsid w:val="52FE06DF"/>
    <w:rsid w:val="54177B6F"/>
    <w:rsid w:val="546209D5"/>
    <w:rsid w:val="54B2090A"/>
    <w:rsid w:val="54B904B8"/>
    <w:rsid w:val="5620013F"/>
    <w:rsid w:val="56D609C9"/>
    <w:rsid w:val="57CA7653"/>
    <w:rsid w:val="57F01655"/>
    <w:rsid w:val="57F87A0E"/>
    <w:rsid w:val="5A723FED"/>
    <w:rsid w:val="5B84002C"/>
    <w:rsid w:val="5BB70E74"/>
    <w:rsid w:val="5DAB54B2"/>
    <w:rsid w:val="5E866FEE"/>
    <w:rsid w:val="5EA5641D"/>
    <w:rsid w:val="622C5A4E"/>
    <w:rsid w:val="62A520A4"/>
    <w:rsid w:val="62BE5B5B"/>
    <w:rsid w:val="633C2F48"/>
    <w:rsid w:val="63C12E07"/>
    <w:rsid w:val="669E30E8"/>
    <w:rsid w:val="6BF825B0"/>
    <w:rsid w:val="6D8C7781"/>
    <w:rsid w:val="700868F1"/>
    <w:rsid w:val="70794280"/>
    <w:rsid w:val="71312ECC"/>
    <w:rsid w:val="71852AD7"/>
    <w:rsid w:val="73756E02"/>
    <w:rsid w:val="762C7905"/>
    <w:rsid w:val="773A07F1"/>
    <w:rsid w:val="774D2D54"/>
    <w:rsid w:val="77581735"/>
    <w:rsid w:val="783D1EBE"/>
    <w:rsid w:val="78806D78"/>
    <w:rsid w:val="78865AEB"/>
    <w:rsid w:val="7C7F535F"/>
    <w:rsid w:val="7CD65C2E"/>
    <w:rsid w:val="7D063CFA"/>
    <w:rsid w:val="7D5A75AC"/>
    <w:rsid w:val="7DC44CDC"/>
    <w:rsid w:val="7EC32073"/>
    <w:rsid w:val="7FD13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8" w:lineRule="exact"/>
      <w:ind w:firstLine="883" w:firstLineChars="200"/>
      <w:jc w:val="both"/>
    </w:pPr>
    <w:rPr>
      <w:rFonts w:ascii="Calibri" w:hAnsi="Calibri" w:eastAsia="方正仿宋简体" w:cs="Times New Roman"/>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napToGrid w:val="0"/>
      <w:spacing w:line="560" w:lineRule="exact"/>
      <w:ind w:firstLine="883" w:firstLineChars="200"/>
    </w:pPr>
    <w:rPr>
      <w:rFonts w:ascii="仿宋_GB2312" w:hAnsi="仿宋_GB2312"/>
    </w:rPr>
  </w:style>
  <w:style w:type="paragraph" w:styleId="3">
    <w:name w:val="Salutation"/>
    <w:basedOn w:val="1"/>
    <w:next w:val="1"/>
    <w:autoRedefine/>
    <w:unhideWhenUsed/>
    <w:qFormat/>
    <w:uiPriority w:val="99"/>
    <w:pPr>
      <w:spacing w:beforeLines="0" w:afterLines="0" w:line="540" w:lineRule="exact"/>
    </w:pPr>
    <w:rPr>
      <w:rFonts w:hint="default" w:eastAsia="仿宋_GB2312"/>
      <w:spacing w:val="-2"/>
      <w:sz w:val="32"/>
    </w:rPr>
  </w:style>
  <w:style w:type="paragraph" w:styleId="4">
    <w:name w:val="footer"/>
    <w:basedOn w:val="1"/>
    <w:unhideWhenUsed/>
    <w:uiPriority w:val="0"/>
    <w:pPr>
      <w:tabs>
        <w:tab w:val="center" w:pos="4153"/>
        <w:tab w:val="right" w:pos="8306"/>
      </w:tabs>
      <w:snapToGrid w:val="0"/>
      <w:spacing w:beforeLines="0" w:afterLines="0"/>
      <w:jc w:val="left"/>
    </w:pPr>
    <w:rPr>
      <w:rFonts w:hint="default"/>
      <w:sz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spacing w:beforeLines="0" w:afterLines="0"/>
      <w:jc w:val="center"/>
    </w:pPr>
    <w:rPr>
      <w:rFonts w:hint="default"/>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cherry   cheng</cp:lastModifiedBy>
  <cp:lastPrinted>2022-01-10T07:32:00Z</cp:lastPrinted>
  <dcterms:modified xsi:type="dcterms:W3CDTF">2024-04-12T01:57:27Z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6F4B3FB4582443458C580EB8DFCA692B_13</vt:lpwstr>
  </property>
</Properties>
</file>